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37B05" w14:textId="4663AE0E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33188E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5822510B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F108F9">
        <w:rPr>
          <w:rFonts w:ascii="Cambria" w:hAnsi="Cambria"/>
          <w:b/>
        </w:rPr>
        <w:t>5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67807305" w:rsidR="005A4649" w:rsidRDefault="00F108F9" w:rsidP="00516F61">
      <w:pPr>
        <w:widowControl w:val="0"/>
        <w:spacing w:line="276" w:lineRule="auto"/>
        <w:outlineLvl w:val="3"/>
        <w:rPr>
          <w:rFonts w:ascii="Cambria" w:hAnsi="Cambria"/>
        </w:rPr>
      </w:pPr>
      <w:hyperlink r:id="rId8" w:history="1">
        <w:r w:rsidR="004B6DB3" w:rsidRPr="002275AF">
          <w:rPr>
            <w:rStyle w:val="Hipercze"/>
            <w:rFonts w:ascii="Cambria" w:hAnsi="Cambria"/>
          </w:rPr>
          <w:t>https://ezamowienia.gov.pl/pl/</w:t>
        </w:r>
      </w:hyperlink>
      <w:r w:rsidR="00464BDB">
        <w:rPr>
          <w:rFonts w:ascii="Cambria" w:hAnsi="Cambria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F108F9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38C972E4" w:rsidR="001E7AF7" w:rsidRPr="00BA3766" w:rsidRDefault="002C621D" w:rsidP="00C76721">
      <w:pPr>
        <w:tabs>
          <w:tab w:val="left" w:pos="567"/>
        </w:tabs>
        <w:spacing w:line="276" w:lineRule="auto"/>
        <w:jc w:val="both"/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C76721" w:rsidRPr="00C76721">
        <w:rPr>
          <w:rFonts w:ascii="Cambria" w:hAnsi="Cambria"/>
          <w:b/>
          <w:bCs/>
          <w:i/>
          <w:iCs/>
        </w:rPr>
        <w:t>„Poprawa funkcjonalności i zachowanie substancji budynku dawnego sądu poprzez działania konserwatorskie i roboty budowlane – II etap w formule zaprojektuj i wybuduj”</w:t>
      </w:r>
      <w:r w:rsidR="00C76721"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F108F9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F108F9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Pzp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49F9" w14:textId="593EC5A6" w:rsidR="001E7AF7" w:rsidRDefault="002C621D" w:rsidP="00A12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6A246" w14:textId="78C278E7" w:rsidR="007F786F" w:rsidRDefault="007F786F" w:rsidP="00A12C26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0F0EC17B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7F109486" wp14:editId="3A1EC8D9">
          <wp:extent cx="1706880" cy="683895"/>
          <wp:effectExtent l="0" t="0" r="7620" b="1905"/>
          <wp:docPr id="127580557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4A0C0386" wp14:editId="49F00B96">
          <wp:extent cx="1006475" cy="683816"/>
          <wp:effectExtent l="19050" t="19050" r="22225" b="21590"/>
          <wp:docPr id="963034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8F96684" wp14:editId="32DE9472">
          <wp:extent cx="576000" cy="684000"/>
          <wp:effectExtent l="0" t="0" r="0" b="1905"/>
          <wp:docPr id="71124294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FF19FA0" wp14:editId="1385782C">
          <wp:extent cx="1083600" cy="684000"/>
          <wp:effectExtent l="0" t="0" r="2540" b="1905"/>
          <wp:docPr id="12096808" name="Grafika 12096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2837C86C" w14:textId="77777777" w:rsidTr="007D33D0">
      <w:trPr>
        <w:trHeight w:val="851"/>
        <w:jc w:val="center"/>
      </w:trPr>
      <w:tc>
        <w:tcPr>
          <w:tcW w:w="9062" w:type="dxa"/>
        </w:tcPr>
        <w:p w14:paraId="442152CA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4D71F7AF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511053" w14:textId="719D4C6E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C032" w14:textId="77777777" w:rsidR="00516F61" w:rsidRDefault="00516F61" w:rsidP="00516F61">
    <w:pPr>
      <w:jc w:val="right"/>
    </w:pPr>
  </w:p>
  <w:p w14:paraId="3FA3B7E9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3CFBFB17" wp14:editId="29DC6431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6FC868B" wp14:editId="20C234B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556C8554" wp14:editId="3F43BA3D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244C7E05" wp14:editId="258B40B6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305EB96B" w14:textId="77777777" w:rsidTr="00630B10">
      <w:trPr>
        <w:trHeight w:val="851"/>
        <w:jc w:val="center"/>
      </w:trPr>
      <w:tc>
        <w:tcPr>
          <w:tcW w:w="9062" w:type="dxa"/>
        </w:tcPr>
        <w:p w14:paraId="06D33466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6F8DDCDB" w14:textId="77777777" w:rsidR="00630B10" w:rsidRPr="00315F5F" w:rsidRDefault="00630B10" w:rsidP="007D33D0">
          <w:pPr>
            <w:pStyle w:val="Nagwek10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2C28D97D" w14:textId="6387F3B5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3188E"/>
    <w:rsid w:val="003A7235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00761"/>
    <w:rsid w:val="00615537"/>
    <w:rsid w:val="00630B10"/>
    <w:rsid w:val="006723D1"/>
    <w:rsid w:val="00696A0C"/>
    <w:rsid w:val="007D33D0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12C26"/>
    <w:rsid w:val="00A9549B"/>
    <w:rsid w:val="00AC356D"/>
    <w:rsid w:val="00B07251"/>
    <w:rsid w:val="00B91D92"/>
    <w:rsid w:val="00BA3766"/>
    <w:rsid w:val="00BD2C83"/>
    <w:rsid w:val="00BE0D93"/>
    <w:rsid w:val="00BE22EF"/>
    <w:rsid w:val="00BF0719"/>
    <w:rsid w:val="00C1281E"/>
    <w:rsid w:val="00C76721"/>
    <w:rsid w:val="00D452F1"/>
    <w:rsid w:val="00D50591"/>
    <w:rsid w:val="00D80B18"/>
    <w:rsid w:val="00DA0B05"/>
    <w:rsid w:val="00E23B9C"/>
    <w:rsid w:val="00E86F82"/>
    <w:rsid w:val="00EE3463"/>
    <w:rsid w:val="00EE6806"/>
    <w:rsid w:val="00F108F9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BA3766"/>
    <w:pPr>
      <w:tabs>
        <w:tab w:val="center" w:pos="4536"/>
        <w:tab w:val="right" w:pos="9072"/>
      </w:tabs>
      <w:suppressAutoHyphens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43</cp:revision>
  <dcterms:created xsi:type="dcterms:W3CDTF">2021-05-11T11:08:00Z</dcterms:created>
  <dcterms:modified xsi:type="dcterms:W3CDTF">2024-02-23T09:44:00Z</dcterms:modified>
</cp:coreProperties>
</file>